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9A4D8" w14:textId="466EEEFF" w:rsidR="000604C7" w:rsidRDefault="000604C7" w:rsidP="005E0844">
      <w:r>
        <w:t>Answer to</w:t>
      </w:r>
      <w:r w:rsidR="009E067B">
        <w:t xml:space="preserve"> question</w:t>
      </w:r>
      <w:r w:rsidR="005F18FE">
        <w:t xml:space="preserve"> </w:t>
      </w:r>
      <w:r>
        <w:t>no. 28 ‘How do you differentiate fibrotic NSIP from UIP’</w:t>
      </w:r>
    </w:p>
    <w:p w14:paraId="031FFF05" w14:textId="34A171E8" w:rsidR="0037163B" w:rsidRDefault="003B73C4" w:rsidP="005E0844">
      <w:r>
        <w:t>Patients</w:t>
      </w:r>
      <w:r w:rsidR="00F04708">
        <w:t>,</w:t>
      </w:r>
      <w:r>
        <w:t xml:space="preserve"> as we all know</w:t>
      </w:r>
      <w:r w:rsidR="00F04708">
        <w:t>, are</w:t>
      </w:r>
      <w:r>
        <w:t xml:space="preserve"> complicated</w:t>
      </w:r>
      <w:r w:rsidR="00F04708">
        <w:t>!</w:t>
      </w:r>
      <w:r>
        <w:t xml:space="preserve">  </w:t>
      </w:r>
    </w:p>
    <w:p w14:paraId="50B84131" w14:textId="74118779" w:rsidR="00BA6533" w:rsidRDefault="003B73C4" w:rsidP="005E0844">
      <w:r>
        <w:t xml:space="preserve">While </w:t>
      </w:r>
      <w:r w:rsidR="00F04708">
        <w:t>academics</w:t>
      </w:r>
      <w:r>
        <w:t xml:space="preserve"> have “split” ILD into neat diagnostic labels / patterns we know that</w:t>
      </w:r>
      <w:r w:rsidR="005F18FE">
        <w:t xml:space="preserve"> in real life</w:t>
      </w:r>
      <w:r>
        <w:t xml:space="preserve"> our p</w:t>
      </w:r>
      <w:r w:rsidR="00BA6533">
        <w:t xml:space="preserve">atients </w:t>
      </w:r>
      <w:r>
        <w:t xml:space="preserve">commonly </w:t>
      </w:r>
      <w:r w:rsidR="00BA6533">
        <w:t>have</w:t>
      </w:r>
      <w:r>
        <w:t xml:space="preserve"> a </w:t>
      </w:r>
      <w:r w:rsidRPr="003B73C4">
        <w:rPr>
          <w:i/>
          <w:iCs/>
        </w:rPr>
        <w:t xml:space="preserve">mixture </w:t>
      </w:r>
      <w:r>
        <w:t xml:space="preserve">of </w:t>
      </w:r>
      <w:r w:rsidR="005E0844">
        <w:t>histological</w:t>
      </w:r>
      <w:r w:rsidR="00BA6533">
        <w:t xml:space="preserve"> pattern</w:t>
      </w:r>
      <w:r>
        <w:t>s</w:t>
      </w:r>
      <w:r w:rsidR="00BA6533">
        <w:t xml:space="preserve"> in their lungs</w:t>
      </w:r>
      <w:r w:rsidR="005E0844">
        <w:t xml:space="preserve"> </w:t>
      </w:r>
      <w:r w:rsidR="00F04708">
        <w:t>e.g.,</w:t>
      </w:r>
      <w:r w:rsidR="005E0844">
        <w:t xml:space="preserve"> </w:t>
      </w:r>
      <w:r>
        <w:t>bit of</w:t>
      </w:r>
      <w:r w:rsidR="005E0844">
        <w:t xml:space="preserve"> UIP, </w:t>
      </w:r>
      <w:r>
        <w:t>bit of</w:t>
      </w:r>
      <w:r w:rsidR="005E0844">
        <w:t xml:space="preserve"> NSIP</w:t>
      </w:r>
      <w:r>
        <w:t>. U</w:t>
      </w:r>
      <w:r w:rsidR="005E0844">
        <w:t>nsurprisingly therefore</w:t>
      </w:r>
      <w:r w:rsidR="00F04708">
        <w:t xml:space="preserve">, </w:t>
      </w:r>
      <w:r w:rsidR="005E0844">
        <w:t xml:space="preserve">many  patients fall into the “probable” or “indeterminate” columns of the ATS criteria shown </w:t>
      </w:r>
      <w:r w:rsidR="00F04708">
        <w:t>overleaf</w:t>
      </w:r>
      <w:r w:rsidR="005E0844">
        <w:t>.</w:t>
      </w:r>
    </w:p>
    <w:p w14:paraId="3CE7A19D" w14:textId="43FDE9C3" w:rsidR="003B73C4" w:rsidRDefault="00BA6533" w:rsidP="005E0844">
      <w:r>
        <w:t>An</w:t>
      </w:r>
      <w:r w:rsidR="009E067B">
        <w:t xml:space="preserve"> MDT is </w:t>
      </w:r>
      <w:r w:rsidR="003B73C4">
        <w:t>essential</w:t>
      </w:r>
      <w:r w:rsidR="009E067B">
        <w:t xml:space="preserve">, </w:t>
      </w:r>
      <w:r>
        <w:t>weaving together the clinical data</w:t>
      </w:r>
      <w:r w:rsidR="003B73C4">
        <w:t xml:space="preserve"> (focusing on domestic and environmental exposures, medication, smoking hx, connective tissue disease symptoms and signs) + </w:t>
      </w:r>
      <w:r>
        <w:t xml:space="preserve"> imaging</w:t>
      </w:r>
      <w:r w:rsidR="003B73C4">
        <w:t xml:space="preserve"> + pathology</w:t>
      </w:r>
      <w:r w:rsidR="00F04708">
        <w:t xml:space="preserve"> (</w:t>
      </w:r>
      <w:r w:rsidR="003B73C4">
        <w:t>if available</w:t>
      </w:r>
      <w:r w:rsidR="00F04708">
        <w:t>)</w:t>
      </w:r>
      <w:r w:rsidR="003B73C4">
        <w:t xml:space="preserve">. It is often an exercise in probability rather than certainty. </w:t>
      </w:r>
    </w:p>
    <w:p w14:paraId="74EA8C46" w14:textId="2FF13D91" w:rsidR="005E0844" w:rsidRDefault="005E0844" w:rsidP="005E0844">
      <w:r>
        <w:t xml:space="preserve">With the </w:t>
      </w:r>
      <w:r w:rsidR="003B73C4">
        <w:t>availability</w:t>
      </w:r>
      <w:r>
        <w:t xml:space="preserve"> of antifibrotics, and identification of those patients with a  progressive fibrotic phenotype, it could be argued does the precise histological label of fibrotic lung disease </w:t>
      </w:r>
      <w:r w:rsidR="003B73C4">
        <w:t xml:space="preserve">really </w:t>
      </w:r>
      <w:r>
        <w:t>matter</w:t>
      </w:r>
      <w:r w:rsidR="0037163B">
        <w:t xml:space="preserve"> (at least in terms of treatment)</w:t>
      </w:r>
      <w:r>
        <w:t>?</w:t>
      </w:r>
      <w:r w:rsidR="00F04708">
        <w:t xml:space="preserve"> </w:t>
      </w:r>
    </w:p>
    <w:p w14:paraId="6C8E6572" w14:textId="7E15F2A3" w:rsidR="00F04708" w:rsidRPr="00F04708" w:rsidRDefault="0037163B" w:rsidP="00F04708">
      <w:pPr>
        <w:pStyle w:val="Heading2"/>
        <w:rPr>
          <w:rFonts w:asciiTheme="minorHAnsi" w:eastAsiaTheme="minorHAnsi" w:hAnsiTheme="minorHAnsi" w:cstheme="minorBidi"/>
          <w:b/>
          <w:bCs/>
          <w:color w:val="auto"/>
          <w:sz w:val="22"/>
          <w:szCs w:val="22"/>
        </w:rPr>
      </w:pPr>
      <w:r w:rsidRPr="00F04708">
        <w:rPr>
          <w:rFonts w:asciiTheme="minorHAnsi" w:eastAsiaTheme="minorHAnsi" w:hAnsiTheme="minorHAnsi" w:cstheme="minorBidi"/>
          <w:b/>
          <w:bCs/>
          <w:color w:val="auto"/>
          <w:sz w:val="22"/>
          <w:szCs w:val="22"/>
        </w:rPr>
        <w:t>Clues that might help distinguish</w:t>
      </w:r>
      <w:r w:rsidR="00F04708">
        <w:rPr>
          <w:rFonts w:asciiTheme="minorHAnsi" w:eastAsiaTheme="minorHAnsi" w:hAnsiTheme="minorHAnsi" w:cstheme="minorBidi"/>
          <w:b/>
          <w:bCs/>
          <w:color w:val="auto"/>
          <w:sz w:val="22"/>
          <w:szCs w:val="22"/>
        </w:rPr>
        <w:t xml:space="preserve"> NSIP from </w:t>
      </w:r>
      <w:r w:rsidR="005F18FE">
        <w:rPr>
          <w:rFonts w:asciiTheme="minorHAnsi" w:eastAsiaTheme="minorHAnsi" w:hAnsiTheme="minorHAnsi" w:cstheme="minorBidi"/>
          <w:b/>
          <w:bCs/>
          <w:color w:val="auto"/>
          <w:sz w:val="22"/>
          <w:szCs w:val="22"/>
        </w:rPr>
        <w:t>UIP/IPF</w:t>
      </w:r>
      <w:r w:rsidR="00F04708">
        <w:rPr>
          <w:rFonts w:asciiTheme="minorHAnsi" w:eastAsiaTheme="minorHAnsi" w:hAnsiTheme="minorHAnsi" w:cstheme="minorBidi"/>
          <w:b/>
          <w:bCs/>
          <w:color w:val="auto"/>
          <w:sz w:val="22"/>
          <w:szCs w:val="22"/>
        </w:rPr>
        <w:t>.</w:t>
      </w:r>
    </w:p>
    <w:p w14:paraId="4635D7F4" w14:textId="77777777" w:rsidR="00F04708" w:rsidRPr="00F04708" w:rsidRDefault="00F04708" w:rsidP="00F04708"/>
    <w:p w14:paraId="7335E16E" w14:textId="77F9E738" w:rsidR="0037163B" w:rsidRDefault="0037163B" w:rsidP="0037163B">
      <w:r w:rsidRPr="0037163B">
        <w:rPr>
          <w:u w:val="single"/>
        </w:rPr>
        <w:t>Clinical features</w:t>
      </w:r>
      <w:r>
        <w:t xml:space="preserve"> –NSIP patients often have a sub-acute onset (usually shorter than IPF</w:t>
      </w:r>
      <w:r w:rsidR="00F04708">
        <w:t xml:space="preserve"> e.g., months vs years</w:t>
      </w:r>
      <w:r>
        <w:t xml:space="preserve">). These patients are often younger, onset aged 40-50 years, and sex incidence is equal or slightly more common in women, no correlation with smoking. True “idiopathic” NSIP I think is actually quite </w:t>
      </w:r>
      <w:r w:rsidR="00F04708">
        <w:t xml:space="preserve">rare. Often </w:t>
      </w:r>
      <w:r>
        <w:t xml:space="preserve">there are clinical clues </w:t>
      </w:r>
      <w:r w:rsidR="00F04708">
        <w:t>e.g.,</w:t>
      </w:r>
      <w:r>
        <w:t xml:space="preserve"> domestic or environmental exposure history, drug therapies etc suggesting  a likely trigger. Physiology is nonspecific </w:t>
      </w:r>
      <w:r w:rsidR="00F04708">
        <w:t>e.g.,</w:t>
      </w:r>
      <w:r>
        <w:t xml:space="preserve"> restrictive, impaired gas exchange, desaturation. Imaging findings are discussed above.</w:t>
      </w:r>
      <w:r w:rsidR="00F04708">
        <w:t xml:space="preserve"> Disease progression is typically slower than IPF. If a predominantly “inflammatory” pattern is visible e.g., ++ ground glass change, then some clinicians would opt for a short therapeutic trial of oral steroid </w:t>
      </w:r>
      <w:r w:rsidR="005F18FE">
        <w:t>e.g.,</w:t>
      </w:r>
      <w:r w:rsidR="00F04708">
        <w:t xml:space="preserve"> 1- 2months</w:t>
      </w:r>
      <w:r w:rsidR="00E231B6">
        <w:t>,</w:t>
      </w:r>
      <w:r w:rsidR="00F04708">
        <w:t xml:space="preserve"> with a  response clearly favouring a more inflammatory than fibrotic pathology.</w:t>
      </w:r>
    </w:p>
    <w:p w14:paraId="1B0F0C01" w14:textId="77510957" w:rsidR="0037163B" w:rsidRPr="0037163B" w:rsidRDefault="0037163B" w:rsidP="0037163B">
      <w:pPr>
        <w:rPr>
          <w:u w:val="single"/>
        </w:rPr>
      </w:pPr>
      <w:r w:rsidRPr="0037163B">
        <w:rPr>
          <w:u w:val="single"/>
        </w:rPr>
        <w:t>Radiology</w:t>
      </w:r>
    </w:p>
    <w:p w14:paraId="634B7F18" w14:textId="4288C288" w:rsidR="0037163B" w:rsidRDefault="0037163B" w:rsidP="0037163B">
      <w:r>
        <w:t xml:space="preserve">I’d suggest using the table from the American Thoracic Society guidelines (Raghu G et al. Diagnosis of idiopathic pulmonary fibrosis AJRCCM 2018;198;e44-e68).   </w:t>
      </w:r>
    </w:p>
    <w:p w14:paraId="6257B64D" w14:textId="77777777" w:rsidR="0037163B" w:rsidRDefault="0037163B" w:rsidP="0037163B">
      <w:r>
        <w:t xml:space="preserve">If </w:t>
      </w:r>
      <w:r w:rsidRPr="009E067B">
        <w:rPr>
          <w:i/>
          <w:iCs/>
        </w:rPr>
        <w:t>honeycombing</w:t>
      </w:r>
      <w:r>
        <w:t xml:space="preserve"> is present then this tends to be a key feature of a “UIP” label (remembering of course that a UIP radiological pattern can occur in conditions other than idiopathic pulmonary fibrosis e.g., chronic hypersensitivity pneumonitis, asbestosis) so your history at clinic is important! </w:t>
      </w:r>
    </w:p>
    <w:p w14:paraId="59F9881B" w14:textId="1A5D9988" w:rsidR="0037163B" w:rsidRDefault="0037163B" w:rsidP="0037163B">
      <w:r>
        <w:t xml:space="preserve">NSIP tends to fall into one of the other columns. Even this is not simple, since we know that histologically some will have more cellular disease (more likely to respond to anti-inflammatory Rx) and some will have more fibrotic disease (more likely to respond to anti-fibrotic Rx). </w:t>
      </w:r>
    </w:p>
    <w:p w14:paraId="2512E6D8" w14:textId="29A60A6C" w:rsidR="00F04708" w:rsidRDefault="00F04708">
      <w:pPr>
        <w:rPr>
          <w:u w:val="single"/>
        </w:rPr>
      </w:pPr>
    </w:p>
    <w:p w14:paraId="57D434E4" w14:textId="56667BFC" w:rsidR="00F04708" w:rsidRDefault="00F04708">
      <w:pPr>
        <w:rPr>
          <w:u w:val="single"/>
        </w:rPr>
      </w:pPr>
    </w:p>
    <w:p w14:paraId="32ACEFB4" w14:textId="77777777" w:rsidR="00F04708" w:rsidRDefault="00F04708">
      <w:pPr>
        <w:rPr>
          <w:u w:val="single"/>
        </w:rPr>
      </w:pPr>
    </w:p>
    <w:p w14:paraId="2A0E4C1D" w14:textId="2D6B21B4" w:rsidR="00F04708" w:rsidRDefault="00F04708">
      <w:pPr>
        <w:rPr>
          <w:u w:val="single"/>
        </w:rPr>
      </w:pPr>
    </w:p>
    <w:p w14:paraId="444A33FD" w14:textId="3D9BB4FC" w:rsidR="00F04708" w:rsidRDefault="00F04708">
      <w:pPr>
        <w:rPr>
          <w:u w:val="single"/>
        </w:rPr>
      </w:pPr>
    </w:p>
    <w:p w14:paraId="777B7022" w14:textId="2A411D4C" w:rsidR="00F04708" w:rsidRDefault="00F04708">
      <w:pPr>
        <w:rPr>
          <w:u w:val="single"/>
        </w:rPr>
      </w:pPr>
    </w:p>
    <w:p w14:paraId="2297B90F" w14:textId="61EA8B87" w:rsidR="00F04708" w:rsidRDefault="00F04708">
      <w:pPr>
        <w:rPr>
          <w:u w:val="single"/>
        </w:rPr>
      </w:pPr>
      <w:r w:rsidRPr="009E067B">
        <w:rPr>
          <w:noProof/>
        </w:rPr>
        <w:lastRenderedPageBreak/>
        <w:drawing>
          <wp:anchor distT="0" distB="0" distL="114300" distR="114300" simplePos="0" relativeHeight="251658240" behindDoc="0" locked="0" layoutInCell="1" allowOverlap="1" wp14:anchorId="2B1D6E33" wp14:editId="55AF6E77">
            <wp:simplePos x="0" y="0"/>
            <wp:positionH relativeFrom="column">
              <wp:posOffset>38100</wp:posOffset>
            </wp:positionH>
            <wp:positionV relativeFrom="paragraph">
              <wp:posOffset>-19050</wp:posOffset>
            </wp:positionV>
            <wp:extent cx="5762625" cy="3995402"/>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762625" cy="3995402"/>
                    </a:xfrm>
                    <a:prstGeom prst="rect">
                      <a:avLst/>
                    </a:prstGeom>
                  </pic:spPr>
                </pic:pic>
              </a:graphicData>
            </a:graphic>
            <wp14:sizeRelH relativeFrom="margin">
              <wp14:pctWidth>0</wp14:pctWidth>
            </wp14:sizeRelH>
            <wp14:sizeRelV relativeFrom="margin">
              <wp14:pctHeight>0</wp14:pctHeight>
            </wp14:sizeRelV>
          </wp:anchor>
        </w:drawing>
      </w:r>
    </w:p>
    <w:p w14:paraId="5CF18D3D" w14:textId="77777777" w:rsidR="00F04708" w:rsidRDefault="00F04708">
      <w:pPr>
        <w:rPr>
          <w:u w:val="single"/>
        </w:rPr>
      </w:pPr>
    </w:p>
    <w:p w14:paraId="1FC2C1D3" w14:textId="77777777" w:rsidR="00F04708" w:rsidRDefault="00F04708" w:rsidP="0037163B">
      <w:pPr>
        <w:rPr>
          <w:u w:val="single"/>
        </w:rPr>
      </w:pPr>
    </w:p>
    <w:p w14:paraId="491C6FDD" w14:textId="77777777" w:rsidR="00F04708" w:rsidRDefault="00F04708" w:rsidP="0037163B">
      <w:pPr>
        <w:rPr>
          <w:u w:val="single"/>
        </w:rPr>
      </w:pPr>
    </w:p>
    <w:p w14:paraId="027C2C14" w14:textId="77777777" w:rsidR="00F04708" w:rsidRDefault="00F04708" w:rsidP="0037163B">
      <w:pPr>
        <w:rPr>
          <w:u w:val="single"/>
        </w:rPr>
      </w:pPr>
    </w:p>
    <w:p w14:paraId="38CD7A7E" w14:textId="77777777" w:rsidR="00F04708" w:rsidRDefault="00F04708" w:rsidP="0037163B">
      <w:pPr>
        <w:rPr>
          <w:u w:val="single"/>
        </w:rPr>
      </w:pPr>
    </w:p>
    <w:p w14:paraId="7A927735" w14:textId="77777777" w:rsidR="00F04708" w:rsidRDefault="00F04708" w:rsidP="0037163B">
      <w:pPr>
        <w:rPr>
          <w:u w:val="single"/>
        </w:rPr>
      </w:pPr>
    </w:p>
    <w:p w14:paraId="36294CF1" w14:textId="77777777" w:rsidR="00F04708" w:rsidRDefault="00F04708" w:rsidP="0037163B">
      <w:pPr>
        <w:rPr>
          <w:u w:val="single"/>
        </w:rPr>
      </w:pPr>
    </w:p>
    <w:p w14:paraId="74D97A5F" w14:textId="77777777" w:rsidR="00F04708" w:rsidRDefault="00F04708" w:rsidP="0037163B">
      <w:pPr>
        <w:rPr>
          <w:u w:val="single"/>
        </w:rPr>
      </w:pPr>
    </w:p>
    <w:p w14:paraId="52F8B1F4" w14:textId="77777777" w:rsidR="00F04708" w:rsidRDefault="00F04708" w:rsidP="0037163B">
      <w:pPr>
        <w:rPr>
          <w:u w:val="single"/>
        </w:rPr>
      </w:pPr>
    </w:p>
    <w:p w14:paraId="21AD50A0" w14:textId="77777777" w:rsidR="00F04708" w:rsidRDefault="00F04708" w:rsidP="0037163B">
      <w:pPr>
        <w:rPr>
          <w:u w:val="single"/>
        </w:rPr>
      </w:pPr>
    </w:p>
    <w:p w14:paraId="46677121" w14:textId="77777777" w:rsidR="00F04708" w:rsidRDefault="00F04708" w:rsidP="0037163B">
      <w:pPr>
        <w:rPr>
          <w:u w:val="single"/>
        </w:rPr>
      </w:pPr>
    </w:p>
    <w:p w14:paraId="0B4FD8D6" w14:textId="77777777" w:rsidR="00F04708" w:rsidRDefault="00F04708" w:rsidP="0037163B">
      <w:pPr>
        <w:rPr>
          <w:u w:val="single"/>
        </w:rPr>
      </w:pPr>
    </w:p>
    <w:p w14:paraId="1ACB0A03" w14:textId="77777777" w:rsidR="00F04708" w:rsidRDefault="00F04708" w:rsidP="0037163B">
      <w:pPr>
        <w:rPr>
          <w:u w:val="single"/>
        </w:rPr>
      </w:pPr>
    </w:p>
    <w:p w14:paraId="5F33DFF2" w14:textId="77777777" w:rsidR="00F04708" w:rsidRDefault="00F04708" w:rsidP="0037163B">
      <w:pPr>
        <w:rPr>
          <w:u w:val="single"/>
        </w:rPr>
      </w:pPr>
    </w:p>
    <w:p w14:paraId="000511EE" w14:textId="0229EFCE" w:rsidR="0037163B" w:rsidRDefault="0037163B" w:rsidP="0037163B">
      <w:r w:rsidRPr="0037163B">
        <w:rPr>
          <w:u w:val="single"/>
        </w:rPr>
        <w:t xml:space="preserve">Pathology </w:t>
      </w:r>
      <w:r>
        <w:t xml:space="preserve">– although we are doing less biopsies these days, in some patients </w:t>
      </w:r>
      <w:r w:rsidR="005F18FE">
        <w:t>they are</w:t>
      </w:r>
      <w:r>
        <w:t xml:space="preserve"> still of value. </w:t>
      </w:r>
      <w:r w:rsidR="00F04708">
        <w:t>There are 2 patterns</w:t>
      </w:r>
      <w:r w:rsidR="005F18FE">
        <w:t xml:space="preserve"> of NSIP</w:t>
      </w:r>
      <w:r w:rsidR="00F04708">
        <w:t xml:space="preserve">, cellular and fibrotic. </w:t>
      </w:r>
      <w:r w:rsidR="005F18FE">
        <w:t xml:space="preserve">They look completely different to a UIP pattern. </w:t>
      </w:r>
      <w:r>
        <w:t>Histological features are fibrosis and inflammation of the alveolar interstitium to varying degrees. The distribution is more uniform</w:t>
      </w:r>
      <w:r w:rsidR="00E231B6">
        <w:t xml:space="preserve"> than IPF, with more </w:t>
      </w:r>
      <w:r>
        <w:t xml:space="preserve">spatial homogeneity and the disease tends to appear in the same phase (temporal heterogeneity). Fibroblastic foci are rare or absent. </w:t>
      </w:r>
    </w:p>
    <w:p w14:paraId="277E2244" w14:textId="6A836D17" w:rsidR="005F18FE" w:rsidRDefault="005F18FE" w:rsidP="0037163B">
      <w:r>
        <w:t>Dr Owen Dempsey (owen.dempsey@nhs.scot)</w:t>
      </w:r>
    </w:p>
    <w:p w14:paraId="47CFE2D7" w14:textId="28D38D73" w:rsidR="0037163B" w:rsidRDefault="0037163B">
      <w:pPr>
        <w:rPr>
          <w:b/>
          <w:bCs/>
        </w:rPr>
      </w:pPr>
    </w:p>
    <w:sectPr w:rsidR="003716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2F74F1"/>
    <w:multiLevelType w:val="multilevel"/>
    <w:tmpl w:val="0504C3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Lega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A6A5E64"/>
    <w:multiLevelType w:val="hybridMultilevel"/>
    <w:tmpl w:val="F6327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DE7480"/>
    <w:multiLevelType w:val="multilevel"/>
    <w:tmpl w:val="88DAB97C"/>
    <w:lvl w:ilvl="0">
      <w:start w:val="1"/>
      <w:numFmt w:val="decimal"/>
      <w:lvlText w:val="%1"/>
      <w:lvlJc w:val="left"/>
      <w:pPr>
        <w:ind w:left="1080" w:hanging="360"/>
      </w:pPr>
      <w:rPr>
        <w:b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1211" w:hanging="360"/>
      </w:pPr>
      <w:rPr>
        <w:b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right"/>
      <w:pPr>
        <w:ind w:left="2520" w:hanging="180"/>
      </w:pPr>
      <w:rPr>
        <w:b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3" w15:restartNumberingAfterBreak="0">
    <w:nsid w:val="7793216D"/>
    <w:multiLevelType w:val="hybridMultilevel"/>
    <w:tmpl w:val="00481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0244E9"/>
    <w:multiLevelType w:val="multilevel"/>
    <w:tmpl w:val="54C0B76A"/>
    <w:lvl w:ilvl="0">
      <w:start w:val="1"/>
      <w:numFmt w:val="decimal"/>
      <w:pStyle w:val="Legal1"/>
      <w:lvlText w:val="%1."/>
      <w:lvlJc w:val="left"/>
      <w:pPr>
        <w:ind w:left="1080" w:hanging="360"/>
      </w:pPr>
      <w:rPr>
        <w:rFonts w:hint="default"/>
      </w:rPr>
    </w:lvl>
    <w:lvl w:ilvl="1">
      <w:start w:val="1"/>
      <w:numFmt w:val="decimal"/>
      <w:pStyle w:val="Legal2"/>
      <w:lvlText w:val="%1.%2"/>
      <w:lvlJc w:val="left"/>
      <w:pPr>
        <w:ind w:left="2204" w:hanging="360"/>
      </w:pPr>
      <w:rPr>
        <w:rFonts w:hint="default"/>
      </w:rPr>
    </w:lvl>
    <w:lvl w:ilvl="2">
      <w:start w:val="1"/>
      <w:numFmt w:val="decimal"/>
      <w:pStyle w:val="Legal30"/>
      <w:lvlText w:val="%1.%2.%3"/>
      <w:lvlJc w:val="left"/>
      <w:pPr>
        <w:ind w:left="2520" w:hanging="18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
      <w:lvlJc w:val="left"/>
      <w:pPr>
        <w:ind w:left="3240" w:hanging="360"/>
      </w:pPr>
      <w:rPr>
        <w:rFonts w:ascii="Symbol" w:hAnsi="Symbol"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num w:numId="1">
    <w:abstractNumId w:val="2"/>
  </w:num>
  <w:num w:numId="2">
    <w:abstractNumId w:val="2"/>
  </w:num>
  <w:num w:numId="3">
    <w:abstractNumId w:val="4"/>
  </w:num>
  <w:num w:numId="4">
    <w:abstractNumId w:val="4"/>
  </w:num>
  <w:num w:numId="5">
    <w:abstractNumId w:val="4"/>
  </w:num>
  <w:num w:numId="6">
    <w:abstractNumId w:val="0"/>
  </w:num>
  <w:num w:numId="7">
    <w:abstractNumId w:val="4"/>
  </w:num>
  <w:num w:numId="8">
    <w:abstractNumId w:val="4"/>
  </w:num>
  <w:num w:numId="9">
    <w:abstractNumId w:val="4"/>
  </w:num>
  <w:num w:numId="10">
    <w:abstractNumId w:val="0"/>
  </w:num>
  <w:num w:numId="11">
    <w:abstractNumId w:val="4"/>
  </w:num>
  <w:num w:numId="12">
    <w:abstractNumId w:val="4"/>
  </w:num>
  <w:num w:numId="13">
    <w:abstractNumId w:val="4"/>
  </w:num>
  <w:num w:numId="14">
    <w:abstractNumId w:val="0"/>
  </w:num>
  <w:num w:numId="15">
    <w:abstractNumId w:val="4"/>
  </w:num>
  <w:num w:numId="16">
    <w:abstractNumId w:val="4"/>
  </w:num>
  <w:num w:numId="17">
    <w:abstractNumId w:val="4"/>
  </w:num>
  <w:num w:numId="18">
    <w:abstractNumId w:val="0"/>
  </w:num>
  <w:num w:numId="19">
    <w:abstractNumId w:val="3"/>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67B"/>
    <w:rsid w:val="000604C7"/>
    <w:rsid w:val="002A6FFD"/>
    <w:rsid w:val="0037163B"/>
    <w:rsid w:val="003B73C4"/>
    <w:rsid w:val="00443773"/>
    <w:rsid w:val="004643FC"/>
    <w:rsid w:val="005E0844"/>
    <w:rsid w:val="005F18FE"/>
    <w:rsid w:val="0068510C"/>
    <w:rsid w:val="009E067B"/>
    <w:rsid w:val="00BA6533"/>
    <w:rsid w:val="00E231B6"/>
    <w:rsid w:val="00F04708"/>
    <w:rsid w:val="00FB351C"/>
    <w:rsid w:val="00FD6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BF709"/>
  <w15:chartTrackingRefBased/>
  <w15:docId w15:val="{35C3BB91-72CD-4A05-813E-D8D42495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3716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A6FFD"/>
    <w:pPr>
      <w:keepNext/>
      <w:keepLines/>
      <w:numPr>
        <w:ilvl w:val="2"/>
        <w:numId w:val="1"/>
      </w:numPr>
      <w:spacing w:after="0" w:line="480" w:lineRule="auto"/>
      <w:ind w:left="1701" w:firstLine="0"/>
      <w:outlineLvl w:val="2"/>
    </w:pPr>
    <w:rPr>
      <w:rFonts w:ascii="Arial" w:eastAsiaTheme="majorEastAsia" w:hAnsi="Arial" w:cs="Arial"/>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A6FFD"/>
    <w:rPr>
      <w:rFonts w:ascii="Arial" w:eastAsiaTheme="majorEastAsia" w:hAnsi="Arial" w:cs="Arial"/>
      <w:color w:val="000000" w:themeColor="text1"/>
      <w:sz w:val="24"/>
      <w:szCs w:val="24"/>
    </w:rPr>
  </w:style>
  <w:style w:type="paragraph" w:customStyle="1" w:styleId="Legal1">
    <w:name w:val="Legal 1"/>
    <w:basedOn w:val="Normal"/>
    <w:link w:val="Legal1Char"/>
    <w:qFormat/>
    <w:rsid w:val="00443773"/>
    <w:pPr>
      <w:numPr>
        <w:numId w:val="17"/>
      </w:numPr>
      <w:tabs>
        <w:tab w:val="left" w:pos="4860"/>
      </w:tabs>
      <w:spacing w:after="0" w:line="480" w:lineRule="auto"/>
    </w:pPr>
    <w:rPr>
      <w:rFonts w:ascii="Arial" w:eastAsia="Arial" w:hAnsi="Arial" w:cs="Arial"/>
      <w:b/>
      <w:caps/>
      <w:color w:val="000000"/>
      <w:sz w:val="24"/>
      <w:szCs w:val="16"/>
    </w:rPr>
  </w:style>
  <w:style w:type="character" w:customStyle="1" w:styleId="Legal1Char">
    <w:name w:val="Legal 1 Char"/>
    <w:basedOn w:val="DefaultParagraphFont"/>
    <w:link w:val="Legal1"/>
    <w:rsid w:val="00443773"/>
    <w:rPr>
      <w:rFonts w:ascii="Arial" w:eastAsia="Arial" w:hAnsi="Arial" w:cs="Arial"/>
      <w:b/>
      <w:caps/>
      <w:color w:val="000000"/>
      <w:sz w:val="24"/>
      <w:szCs w:val="16"/>
    </w:rPr>
  </w:style>
  <w:style w:type="paragraph" w:customStyle="1" w:styleId="Legal2">
    <w:name w:val="Legal 2"/>
    <w:basedOn w:val="Normal"/>
    <w:link w:val="Legal2Char"/>
    <w:qFormat/>
    <w:rsid w:val="00443773"/>
    <w:pPr>
      <w:numPr>
        <w:ilvl w:val="1"/>
        <w:numId w:val="17"/>
      </w:numPr>
      <w:spacing w:after="0" w:line="480" w:lineRule="auto"/>
    </w:pPr>
    <w:rPr>
      <w:rFonts w:ascii="Arial" w:eastAsia="Arial" w:hAnsi="Arial" w:cs="Arial"/>
      <w:b/>
      <w:bCs/>
      <w:color w:val="000000"/>
      <w:sz w:val="24"/>
      <w:szCs w:val="16"/>
    </w:rPr>
  </w:style>
  <w:style w:type="character" w:customStyle="1" w:styleId="Legal2Char">
    <w:name w:val="Legal 2 Char"/>
    <w:basedOn w:val="DefaultParagraphFont"/>
    <w:link w:val="Legal2"/>
    <w:rsid w:val="00443773"/>
    <w:rPr>
      <w:rFonts w:ascii="Arial" w:eastAsia="Arial" w:hAnsi="Arial" w:cs="Arial"/>
      <w:b/>
      <w:bCs/>
      <w:color w:val="000000"/>
      <w:sz w:val="24"/>
      <w:szCs w:val="16"/>
    </w:rPr>
  </w:style>
  <w:style w:type="paragraph" w:customStyle="1" w:styleId="Legal30">
    <w:name w:val="Legal 3"/>
    <w:basedOn w:val="Legal2"/>
    <w:link w:val="Legal3Char"/>
    <w:qFormat/>
    <w:rsid w:val="00443773"/>
    <w:pPr>
      <w:numPr>
        <w:ilvl w:val="2"/>
      </w:numPr>
      <w:tabs>
        <w:tab w:val="left" w:pos="4860"/>
      </w:tabs>
    </w:pPr>
    <w:rPr>
      <w:b w:val="0"/>
    </w:rPr>
  </w:style>
  <w:style w:type="character" w:customStyle="1" w:styleId="Legal3Char">
    <w:name w:val="Legal 3 Char"/>
    <w:basedOn w:val="Legal2Char"/>
    <w:link w:val="Legal30"/>
    <w:rsid w:val="00443773"/>
    <w:rPr>
      <w:rFonts w:ascii="Arial" w:eastAsia="Arial" w:hAnsi="Arial" w:cs="Arial"/>
      <w:b w:val="0"/>
      <w:bCs/>
      <w:color w:val="000000"/>
      <w:sz w:val="24"/>
      <w:szCs w:val="16"/>
    </w:rPr>
  </w:style>
  <w:style w:type="paragraph" w:customStyle="1" w:styleId="Legal3">
    <w:name w:val="Legal 3."/>
    <w:basedOn w:val="Legal30"/>
    <w:link w:val="Legal3Char0"/>
    <w:rsid w:val="00443773"/>
    <w:pPr>
      <w:numPr>
        <w:numId w:val="18"/>
      </w:numPr>
    </w:pPr>
  </w:style>
  <w:style w:type="character" w:customStyle="1" w:styleId="Legal3Char0">
    <w:name w:val="Legal 3. Char"/>
    <w:basedOn w:val="Legal3Char"/>
    <w:link w:val="Legal3"/>
    <w:rsid w:val="00443773"/>
    <w:rPr>
      <w:rFonts w:ascii="Arial" w:eastAsia="Arial" w:hAnsi="Arial" w:cs="Arial"/>
      <w:b w:val="0"/>
      <w:bCs/>
      <w:color w:val="000000"/>
      <w:sz w:val="24"/>
      <w:szCs w:val="16"/>
    </w:rPr>
  </w:style>
  <w:style w:type="paragraph" w:styleId="ListParagraph">
    <w:name w:val="List Paragraph"/>
    <w:basedOn w:val="Normal"/>
    <w:uiPriority w:val="34"/>
    <w:qFormat/>
    <w:rsid w:val="005E0844"/>
    <w:pPr>
      <w:ind w:left="720"/>
      <w:contextualSpacing/>
    </w:pPr>
  </w:style>
  <w:style w:type="character" w:customStyle="1" w:styleId="Heading2Char">
    <w:name w:val="Heading 2 Char"/>
    <w:basedOn w:val="DefaultParagraphFont"/>
    <w:link w:val="Heading2"/>
    <w:uiPriority w:val="9"/>
    <w:rsid w:val="0037163B"/>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480</Words>
  <Characters>2736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Dempsey (NHS Grampian)</dc:creator>
  <cp:keywords/>
  <dc:description/>
  <cp:lastModifiedBy>Jackie Ford</cp:lastModifiedBy>
  <cp:revision>3</cp:revision>
  <dcterms:created xsi:type="dcterms:W3CDTF">2021-09-14T12:09:00Z</dcterms:created>
  <dcterms:modified xsi:type="dcterms:W3CDTF">2021-09-14T12:17:00Z</dcterms:modified>
</cp:coreProperties>
</file>